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B5" w:rsidRPr="002C33E2" w:rsidRDefault="007B1548" w:rsidP="002C33E2">
      <w:pPr>
        <w:spacing w:line="300" w:lineRule="exact"/>
        <w:jc w:val="center"/>
        <w:rPr>
          <w:rFonts w:ascii="メイリオ" w:eastAsia="メイリオ" w:hAnsi="メイリオ" w:cs="メイリオ" w:hint="eastAsia"/>
          <w:sz w:val="28"/>
          <w:szCs w:val="28"/>
        </w:rPr>
      </w:pPr>
      <w:bookmarkStart w:id="0" w:name="_GoBack"/>
      <w:bookmarkEnd w:id="0"/>
      <w:r w:rsidRPr="002C33E2">
        <w:rPr>
          <w:rFonts w:ascii="メイリオ" w:eastAsia="メイリオ" w:hAnsi="メイリオ" w:cs="メイリオ" w:hint="eastAsia"/>
          <w:b/>
          <w:bCs/>
          <w:sz w:val="28"/>
          <w:szCs w:val="28"/>
        </w:rPr>
        <w:t>病理検体提出のお願い（がん遺伝子パネル検査）</w:t>
      </w:r>
    </w:p>
    <w:p w:rsidR="007B1548" w:rsidRPr="00327299" w:rsidRDefault="007B1548" w:rsidP="009A2B29">
      <w:pPr>
        <w:spacing w:line="400" w:lineRule="exact"/>
        <w:jc w:val="center"/>
        <w:rPr>
          <w:rFonts w:ascii="メイリオ" w:eastAsia="メイリオ" w:hAnsi="メイリオ" w:cs="メイリオ" w:hint="eastAsia"/>
          <w:sz w:val="24"/>
          <w:szCs w:val="24"/>
        </w:rPr>
      </w:pPr>
    </w:p>
    <w:p w:rsidR="001231A9" w:rsidRDefault="007B1548" w:rsidP="002C33E2">
      <w:pPr>
        <w:spacing w:line="300" w:lineRule="exac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「がん遺伝子パネル検査」には、一定の条件を満たしたがんの組織を含む病理検体</w:t>
      </w:r>
    </w:p>
    <w:p w:rsidR="007B1548" w:rsidRPr="00327299" w:rsidRDefault="007B1548" w:rsidP="002C33E2">
      <w:pPr>
        <w:spacing w:line="300" w:lineRule="exact"/>
        <w:rPr>
          <w:rFonts w:ascii="メイリオ" w:eastAsia="メイリオ" w:hAnsi="メイリオ" w:cs="メイリオ"/>
          <w:sz w:val="24"/>
          <w:szCs w:val="24"/>
        </w:rPr>
      </w:pPr>
      <w:r w:rsidRPr="00327299">
        <w:rPr>
          <w:rFonts w:ascii="メイリオ" w:eastAsia="メイリオ" w:hAnsi="メイリオ" w:cs="メイリオ" w:hint="eastAsia"/>
          <w:sz w:val="24"/>
          <w:szCs w:val="24"/>
        </w:rPr>
        <w:t>(FFPE検体)が必要です。</w:t>
      </w:r>
    </w:p>
    <w:p w:rsidR="001231A9" w:rsidRDefault="007B1548" w:rsidP="002C33E2">
      <w:pPr>
        <w:spacing w:line="300" w:lineRule="exac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 xml:space="preserve">　あらかじめ準備の上、病理診断書の写しと併せて当院受診時に患者さんにご持参いた</w:t>
      </w:r>
    </w:p>
    <w:p w:rsidR="007B1548" w:rsidRPr="00327299" w:rsidRDefault="007B1548" w:rsidP="002C33E2">
      <w:pPr>
        <w:spacing w:line="300" w:lineRule="exact"/>
        <w:rPr>
          <w:rFonts w:ascii="メイリオ" w:eastAsia="メイリオ" w:hAnsi="メイリオ" w:cs="メイリオ"/>
          <w:sz w:val="24"/>
          <w:szCs w:val="24"/>
        </w:rPr>
      </w:pPr>
      <w:r w:rsidRPr="00327299">
        <w:rPr>
          <w:rFonts w:ascii="メイリオ" w:eastAsia="メイリオ" w:hAnsi="メイリオ" w:cs="メイリオ" w:hint="eastAsia"/>
          <w:sz w:val="24"/>
          <w:szCs w:val="24"/>
        </w:rPr>
        <w:t>だくようお願いいたします。</w:t>
      </w:r>
    </w:p>
    <w:p w:rsidR="006C4111" w:rsidRPr="00327299" w:rsidRDefault="001231A9" w:rsidP="002C33E2">
      <w:pPr>
        <w:spacing w:line="300" w:lineRule="exact"/>
        <w:rPr>
          <w:rFonts w:ascii="メイリオ" w:eastAsia="メイリオ" w:hAnsi="メイリオ" w:cs="メイリオ" w:hint="eastAsia"/>
          <w:sz w:val="24"/>
          <w:szCs w:val="24"/>
        </w:rPr>
      </w:pPr>
      <w:r w:rsidRPr="00327299">
        <w:rPr>
          <w:rFonts w:ascii="メイリオ" w:eastAsia="メイリオ" w:hAnsi="メイリオ" w:cs="メイリオ"/>
          <w:noProof/>
          <w:sz w:val="24"/>
          <w:szCs w:val="24"/>
        </w:rPr>
        <mc:AlternateContent>
          <mc:Choice Requires="wps">
            <w:drawing>
              <wp:anchor distT="0" distB="0" distL="114300" distR="114300" simplePos="0" relativeHeight="251659264" behindDoc="0" locked="0" layoutInCell="1" allowOverlap="1" wp14:anchorId="52920034" wp14:editId="461EA421">
                <wp:simplePos x="0" y="0"/>
                <wp:positionH relativeFrom="column">
                  <wp:posOffset>-524510</wp:posOffset>
                </wp:positionH>
                <wp:positionV relativeFrom="paragraph">
                  <wp:posOffset>181610</wp:posOffset>
                </wp:positionV>
                <wp:extent cx="7019925" cy="2638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019925" cy="2638425"/>
                        </a:xfrm>
                        <a:prstGeom prst="rect">
                          <a:avLst/>
                        </a:prstGeom>
                        <a:noFill/>
                        <a:ln>
                          <a:solidFill>
                            <a:schemeClr val="tx1"/>
                          </a:solidFill>
                        </a:ln>
                        <a:effectLst/>
                      </wps:spPr>
                      <wps:txbx>
                        <w:txbxContent>
                          <w:p w:rsidR="002C33E2" w:rsidRDefault="002C33E2" w:rsidP="002C33E2">
                            <w:pPr>
                              <w:spacing w:line="300" w:lineRule="exact"/>
                              <w:jc w:val="left"/>
                              <w:rPr>
                                <w:rFonts w:ascii="メイリオ" w:eastAsia="メイリオ" w:hAnsi="メイリオ" w:cs="メイリオ" w:hint="eastAsia"/>
                                <w:b/>
                                <w:bCs/>
                                <w:color w:val="000000" w:themeColor="text1"/>
                                <w:sz w:val="24"/>
                                <w:szCs w:val="24"/>
                                <w:u w:val="single"/>
                                <w14:textOutline w14:w="12700" w14:cap="flat" w14:cmpd="sng" w14:algn="ctr">
                                  <w14:noFill/>
                                  <w14:prstDash w14:val="solid"/>
                                  <w14:round/>
                                </w14:textOutline>
                              </w:rPr>
                            </w:pPr>
                            <w:r w:rsidRPr="002C33E2">
                              <w:rPr>
                                <w:rFonts w:ascii="メイリオ" w:eastAsia="メイリオ" w:hAnsi="メイリオ" w:cs="メイリオ" w:hint="eastAsia"/>
                                <w:b/>
                                <w:bCs/>
                                <w:color w:val="000000" w:themeColor="text1"/>
                                <w:sz w:val="24"/>
                                <w:szCs w:val="24"/>
                                <w:u w:val="single"/>
                                <w14:textOutline w14:w="12700" w14:cap="flat" w14:cmpd="sng" w14:algn="ctr">
                                  <w14:noFill/>
                                  <w14:prstDash w14:val="solid"/>
                                  <w14:round/>
                                </w14:textOutline>
                              </w:rPr>
                              <w:t>検査に必要な病理検体</w:t>
                            </w:r>
                          </w:p>
                          <w:p w:rsidR="006C4111" w:rsidRPr="002C33E2"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有核細胞中の腫瘍細胞率が30%以上であるキースライドの未染標本、またはパラフィンブロック</w:t>
                            </w:r>
                          </w:p>
                          <w:p w:rsidR="002C33E2" w:rsidRDefault="002C33E2" w:rsidP="002C33E2">
                            <w:pPr>
                              <w:spacing w:line="300" w:lineRule="exact"/>
                              <w:jc w:val="left"/>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未染標本を提出して頂く場合、</w:t>
                            </w:r>
                          </w:p>
                          <w:p w:rsidR="006C4111" w:rsidRPr="006C4111"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Default="002C33E2" w:rsidP="002C33E2">
                            <w:pPr>
                              <w:spacing w:line="300" w:lineRule="exact"/>
                              <w:jc w:val="left"/>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(ア) 有核細胞からなる組織の表面積が25 mm</w:t>
                            </w:r>
                            <w:r w:rsidRPr="002C33E2">
                              <w:rPr>
                                <w:rFonts w:ascii="メイリオ" w:eastAsia="メイリオ" w:hAnsi="メイリオ" w:cs="メイリオ" w:hint="eastAsia"/>
                                <w:color w:val="000000" w:themeColor="text1"/>
                                <w:sz w:val="24"/>
                                <w:szCs w:val="24"/>
                                <w:vertAlign w:val="superscript"/>
                                <w14:textOutline w14:w="12700" w14:cap="flat" w14:cmpd="sng" w14:algn="ctr">
                                  <w14:noFill/>
                                  <w14:prstDash w14:val="solid"/>
                                  <w14:round/>
                                </w14:textOutline>
                              </w:rPr>
                              <w:t>2</w:t>
                            </w: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以上: コートガラス (5 μm厚) × 20枚</w:t>
                            </w:r>
                          </w:p>
                          <w:p w:rsidR="006C4111" w:rsidRPr="002C33E2"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Default="002C33E2" w:rsidP="002C33E2">
                            <w:pPr>
                              <w:spacing w:line="300" w:lineRule="exact"/>
                              <w:jc w:val="left"/>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(イ) 有核細胞からなる組織の表面積が25 mm</w:t>
                            </w:r>
                            <w:r w:rsidRPr="002C33E2">
                              <w:rPr>
                                <w:rFonts w:ascii="メイリオ" w:eastAsia="メイリオ" w:hAnsi="メイリオ" w:cs="メイリオ" w:hint="eastAsia"/>
                                <w:color w:val="000000" w:themeColor="text1"/>
                                <w:sz w:val="24"/>
                                <w:szCs w:val="24"/>
                                <w:vertAlign w:val="superscript"/>
                                <w14:textOutline w14:w="12700" w14:cap="flat" w14:cmpd="sng" w14:algn="ctr">
                                  <w14:noFill/>
                                  <w14:prstDash w14:val="solid"/>
                                  <w14:round/>
                                </w14:textOutline>
                              </w:rPr>
                              <w:t>2</w:t>
                            </w: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未満: コートガラス (5 μm厚) × 30枚</w:t>
                            </w:r>
                          </w:p>
                          <w:p w:rsidR="006C4111" w:rsidRPr="002C33E2"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※① 上記の通りに未染標本を提出して頂いたとしても、検査の適格条件を満たす量のDNAが</w:t>
                            </w: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得られず、検査が続行できない場合も生じ得ることをご承知置きください。</w:t>
                            </w: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② スライドガラスには患者名等の個人情報を記載しないようお願いいたします。</w:t>
                            </w: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③ 切片をロール状に薄切し、チューブに入れた検体は出検できませんのでご注意ください。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pt;margin-top:14.3pt;width:552.7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" filled="f" strokecolor="black [3213]">
                <v:fill o:detectmouseclick="t"/>
                <v:textbox>
                  <w:txbxContent>
                    <w:p w:rsidR="002C33E2" w:rsidRDefault="002C33E2" w:rsidP="002C33E2">
                      <w:pPr>
                        <w:spacing w:line="300" w:lineRule="exact"/>
                        <w:jc w:val="left"/>
                        <w:rPr>
                          <w:rFonts w:ascii="メイリオ" w:eastAsia="メイリオ" w:hAnsi="メイリオ" w:cs="メイリオ" w:hint="eastAsia"/>
                          <w:b/>
                          <w:bCs/>
                          <w:color w:val="000000" w:themeColor="text1"/>
                          <w:sz w:val="24"/>
                          <w:szCs w:val="24"/>
                          <w:u w:val="single"/>
                          <w14:textOutline w14:w="12700" w14:cap="flat" w14:cmpd="sng" w14:algn="ctr">
                            <w14:noFill/>
                            <w14:prstDash w14:val="solid"/>
                            <w14:round/>
                          </w14:textOutline>
                        </w:rPr>
                      </w:pPr>
                      <w:r w:rsidRPr="002C33E2">
                        <w:rPr>
                          <w:rFonts w:ascii="メイリオ" w:eastAsia="メイリオ" w:hAnsi="メイリオ" w:cs="メイリオ" w:hint="eastAsia"/>
                          <w:b/>
                          <w:bCs/>
                          <w:color w:val="000000" w:themeColor="text1"/>
                          <w:sz w:val="24"/>
                          <w:szCs w:val="24"/>
                          <w:u w:val="single"/>
                          <w14:textOutline w14:w="12700" w14:cap="flat" w14:cmpd="sng" w14:algn="ctr">
                            <w14:noFill/>
                            <w14:prstDash w14:val="solid"/>
                            <w14:round/>
                          </w14:textOutline>
                        </w:rPr>
                        <w:t>検査に必要な病理検体</w:t>
                      </w:r>
                    </w:p>
                    <w:p w:rsidR="006C4111" w:rsidRPr="002C33E2"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有核細胞中の腫瘍細胞率が30%以上であるキースライドの未染標本、またはパラフィンブロック</w:t>
                      </w:r>
                    </w:p>
                    <w:p w:rsidR="002C33E2" w:rsidRDefault="002C33E2" w:rsidP="002C33E2">
                      <w:pPr>
                        <w:spacing w:line="300" w:lineRule="exact"/>
                        <w:jc w:val="left"/>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未染標本を提出して頂く場合、</w:t>
                      </w:r>
                    </w:p>
                    <w:p w:rsidR="006C4111" w:rsidRPr="006C4111"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Default="002C33E2" w:rsidP="002C33E2">
                      <w:pPr>
                        <w:spacing w:line="300" w:lineRule="exact"/>
                        <w:jc w:val="left"/>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(ア) 有核細胞からなる組織の表面積が25 mm</w:t>
                      </w:r>
                      <w:r w:rsidRPr="002C33E2">
                        <w:rPr>
                          <w:rFonts w:ascii="メイリオ" w:eastAsia="メイリオ" w:hAnsi="メイリオ" w:cs="メイリオ" w:hint="eastAsia"/>
                          <w:color w:val="000000" w:themeColor="text1"/>
                          <w:sz w:val="24"/>
                          <w:szCs w:val="24"/>
                          <w:vertAlign w:val="superscript"/>
                          <w14:textOutline w14:w="12700" w14:cap="flat" w14:cmpd="sng" w14:algn="ctr">
                            <w14:noFill/>
                            <w14:prstDash w14:val="solid"/>
                            <w14:round/>
                          </w14:textOutline>
                        </w:rPr>
                        <w:t>2</w:t>
                      </w: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以上: コートガラス (5 μm厚) × 20枚</w:t>
                      </w:r>
                    </w:p>
                    <w:p w:rsidR="006C4111" w:rsidRPr="002C33E2"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Default="002C33E2" w:rsidP="002C33E2">
                      <w:pPr>
                        <w:spacing w:line="300" w:lineRule="exact"/>
                        <w:jc w:val="left"/>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(イ) 有核細胞からなる組織の表面積が25 mm</w:t>
                      </w:r>
                      <w:r w:rsidRPr="002C33E2">
                        <w:rPr>
                          <w:rFonts w:ascii="メイリオ" w:eastAsia="メイリオ" w:hAnsi="メイリオ" w:cs="メイリオ" w:hint="eastAsia"/>
                          <w:color w:val="000000" w:themeColor="text1"/>
                          <w:sz w:val="24"/>
                          <w:szCs w:val="24"/>
                          <w:vertAlign w:val="superscript"/>
                          <w14:textOutline w14:w="12700" w14:cap="flat" w14:cmpd="sng" w14:algn="ctr">
                            <w14:noFill/>
                            <w14:prstDash w14:val="solid"/>
                            <w14:round/>
                          </w14:textOutline>
                        </w:rPr>
                        <w:t>2</w:t>
                      </w: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未満: コートガラス (5 μm厚) × 30枚</w:t>
                      </w:r>
                    </w:p>
                    <w:p w:rsidR="006C4111" w:rsidRPr="002C33E2" w:rsidRDefault="006C4111"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※① 上記の通りに未染標本を提出して頂いたとしても、検査の適格条件を満たす量のDNAが</w:t>
                      </w: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得られず、検査が続行できない場合も生じ得ることをご承知置きください。</w:t>
                      </w: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② スライドガラスには患者名等の個人情報を記載しないようお願いいたします。</w:t>
                      </w:r>
                    </w:p>
                    <w:p w:rsidR="002C33E2" w:rsidRPr="002C33E2" w:rsidRDefault="002C33E2" w:rsidP="002C33E2">
                      <w:pPr>
                        <w:spacing w:line="300" w:lineRule="exact"/>
                        <w:jc w:val="left"/>
                        <w:rPr>
                          <w:rFonts w:ascii="メイリオ" w:eastAsia="メイリオ" w:hAnsi="メイリオ" w:cs="メイリオ"/>
                          <w:color w:val="000000" w:themeColor="text1"/>
                          <w:sz w:val="24"/>
                          <w:szCs w:val="24"/>
                          <w14:textOutline w14:w="12700" w14:cap="flat" w14:cmpd="sng" w14:algn="ctr">
                            <w14:noFill/>
                            <w14:prstDash w14:val="solid"/>
                            <w14:round/>
                          </w14:textOutline>
                        </w:rPr>
                      </w:pPr>
                      <w:r w:rsidRPr="002C33E2">
                        <w:rPr>
                          <w:rFonts w:ascii="メイリオ" w:eastAsia="メイリオ" w:hAnsi="メイリオ" w:cs="メイリオ" w:hint="eastAsia"/>
                          <w:color w:val="000000" w:themeColor="text1"/>
                          <w:sz w:val="24"/>
                          <w:szCs w:val="24"/>
                          <w14:textOutline w14:w="12700" w14:cap="flat" w14:cmpd="sng" w14:algn="ctr">
                            <w14:noFill/>
                            <w14:prstDash w14:val="solid"/>
                            <w14:round/>
                          </w14:textOutline>
                        </w:rPr>
                        <w:t xml:space="preserve">　　　③ 切片をロール状に薄切し、チューブに入れた検体は出検できませんのでご注意ください。</w:t>
                      </w:r>
                    </w:p>
                  </w:txbxContent>
                </v:textbox>
              </v:shape>
            </w:pict>
          </mc:Fallback>
        </mc:AlternateContent>
      </w: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7B1548" w:rsidRPr="00327299" w:rsidRDefault="007B1548"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6C4111" w:rsidRPr="00327299" w:rsidRDefault="006C4111" w:rsidP="002C33E2">
      <w:pPr>
        <w:spacing w:line="300" w:lineRule="exact"/>
        <w:rPr>
          <w:rFonts w:ascii="メイリオ" w:eastAsia="メイリオ" w:hAnsi="メイリオ" w:cs="メイリオ" w:hint="eastAsia"/>
          <w:sz w:val="24"/>
          <w:szCs w:val="24"/>
        </w:rPr>
      </w:pPr>
    </w:p>
    <w:p w:rsidR="00327299" w:rsidRDefault="00327299" w:rsidP="00327299">
      <w:pPr>
        <w:spacing w:line="300" w:lineRule="exact"/>
        <w:ind w:hanging="709"/>
        <w:jc w:val="left"/>
        <w:rPr>
          <w:rFonts w:ascii="メイリオ" w:eastAsia="メイリオ" w:hAnsi="メイリオ" w:cs="メイリオ" w:hint="eastAsia"/>
          <w:b/>
          <w:bCs/>
          <w:sz w:val="24"/>
          <w:szCs w:val="24"/>
        </w:rPr>
      </w:pPr>
      <w:r w:rsidRPr="00327299">
        <w:rPr>
          <w:rFonts w:ascii="メイリオ" w:eastAsia="メイリオ" w:hAnsi="メイリオ" w:cs="メイリオ" w:hint="eastAsia"/>
          <w:b/>
          <w:bCs/>
          <w:sz w:val="24"/>
          <w:szCs w:val="24"/>
        </w:rPr>
        <w:t>病理標本作成時の注意点</w:t>
      </w:r>
    </w:p>
    <w:p w:rsidR="00327299" w:rsidRPr="00327299" w:rsidRDefault="00327299" w:rsidP="00327299">
      <w:pPr>
        <w:spacing w:line="300" w:lineRule="exact"/>
        <w:ind w:hanging="709"/>
        <w:jc w:val="left"/>
        <w:rPr>
          <w:rFonts w:ascii="メイリオ" w:eastAsia="メイリオ" w:hAnsi="メイリオ" w:cs="メイリオ"/>
          <w:sz w:val="24"/>
          <w:szCs w:val="24"/>
        </w:rPr>
      </w:pPr>
    </w:p>
    <w:p w:rsidR="00E42699" w:rsidRDefault="00327299" w:rsidP="00327299">
      <w:pPr>
        <w:spacing w:line="300" w:lineRule="exact"/>
        <w:ind w:hanging="709"/>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１．検査の適格条件を満たす質のDNAを得るための、病理検体の出検前の適格条件は以下の</w:t>
      </w:r>
      <w:r>
        <w:rPr>
          <w:rFonts w:ascii="メイリオ" w:eastAsia="メイリオ" w:hAnsi="メイリオ" w:cs="メイリオ" w:hint="eastAsia"/>
          <w:sz w:val="24"/>
          <w:szCs w:val="24"/>
        </w:rPr>
        <w:t>通り</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です。これらの条件が満たされないと、検査の申し込み自体ができなくなる場合、検査が続行</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できない場合、あるいは検査を実施しても信頼できる結果が得られない場合が生じ得ますので</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ご留意ください。</w:t>
      </w:r>
    </w:p>
    <w:p w:rsidR="00E42699" w:rsidRDefault="00E42699" w:rsidP="00E42699">
      <w:pPr>
        <w:spacing w:line="300" w:lineRule="exact"/>
        <w:ind w:hanging="238"/>
        <w:jc w:val="left"/>
        <w:rPr>
          <w:rFonts w:ascii="メイリオ" w:eastAsia="メイリオ" w:hAnsi="メイリオ" w:cs="メイリオ" w:hint="eastAsia"/>
          <w:sz w:val="24"/>
          <w:szCs w:val="24"/>
        </w:rPr>
      </w:pP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① 検体が採取されてからの経過時間が3年以内である。</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② 検体の固定液が、10％中性緩衝ホルマリンである。</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③ 骨の脱灰標本の場合、EDTA脱灰法で作成している。</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④ 病理標本の腫瘍細胞率と有核細胞からなる組織の表面積が一定量以上である</w:t>
      </w:r>
    </w:p>
    <w:p w:rsidR="00327299" w:rsidRDefault="00327299" w:rsidP="00E42699">
      <w:pPr>
        <w:spacing w:line="300" w:lineRule="exact"/>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 xml:space="preserve"> (上記をご参照ください)。</w:t>
      </w:r>
    </w:p>
    <w:p w:rsidR="00E42699" w:rsidRPr="00327299" w:rsidRDefault="00E42699" w:rsidP="00E42699">
      <w:pPr>
        <w:spacing w:line="300" w:lineRule="exact"/>
        <w:jc w:val="left"/>
        <w:rPr>
          <w:rFonts w:ascii="メイリオ" w:eastAsia="メイリオ" w:hAnsi="メイリオ" w:cs="メイリオ"/>
          <w:sz w:val="24"/>
          <w:szCs w:val="24"/>
        </w:rPr>
      </w:pPr>
    </w:p>
    <w:p w:rsidR="00E42699" w:rsidRDefault="00327299" w:rsidP="00327299">
      <w:pPr>
        <w:spacing w:line="300" w:lineRule="exact"/>
        <w:ind w:hanging="709"/>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２．未染標本の作製時には、コンタミネーション(他検体の混入)を防ぐため、以下の点にご留意</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ください。下記の①～③の条件での病理標本の作成が難しいと判断された場合は、キースラ</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イドのパラフィンブロックの貸し出しをお願い致します。</w:t>
      </w:r>
    </w:p>
    <w:p w:rsidR="00E42699" w:rsidRDefault="00E42699" w:rsidP="00E42699">
      <w:pPr>
        <w:spacing w:line="300" w:lineRule="exact"/>
        <w:ind w:hanging="238"/>
        <w:jc w:val="left"/>
        <w:rPr>
          <w:rFonts w:ascii="メイリオ" w:eastAsia="メイリオ" w:hAnsi="メイリオ" w:cs="メイリオ" w:hint="eastAsia"/>
          <w:sz w:val="24"/>
          <w:szCs w:val="24"/>
        </w:rPr>
      </w:pP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① 薄切前に必ず新品のミクロトーム刃に交換する。</w:t>
      </w:r>
    </w:p>
    <w:p w:rsidR="00E426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② 薄切前に新品のグローブを着用する。</w:t>
      </w:r>
    </w:p>
    <w:p w:rsidR="00327299" w:rsidRDefault="00327299" w:rsidP="00E4269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③ 薄切水槽の水を新しいものに交換する。</w:t>
      </w:r>
    </w:p>
    <w:p w:rsidR="001231A9" w:rsidRPr="001231A9" w:rsidRDefault="001231A9" w:rsidP="00E42699">
      <w:pPr>
        <w:spacing w:line="300" w:lineRule="exact"/>
        <w:ind w:hanging="238"/>
        <w:jc w:val="left"/>
        <w:rPr>
          <w:rFonts w:ascii="メイリオ" w:eastAsia="メイリオ" w:hAnsi="メイリオ" w:cs="メイリオ"/>
          <w:sz w:val="24"/>
          <w:szCs w:val="24"/>
        </w:rPr>
      </w:pPr>
    </w:p>
    <w:p w:rsidR="001231A9" w:rsidRDefault="00327299" w:rsidP="00327299">
      <w:pPr>
        <w:spacing w:line="300" w:lineRule="exact"/>
        <w:ind w:hanging="709"/>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３．その他の注意点</w:t>
      </w:r>
    </w:p>
    <w:p w:rsidR="001231A9" w:rsidRDefault="001231A9" w:rsidP="00327299">
      <w:pPr>
        <w:spacing w:line="300" w:lineRule="exact"/>
        <w:ind w:hanging="709"/>
        <w:jc w:val="left"/>
        <w:rPr>
          <w:rFonts w:ascii="メイリオ" w:eastAsia="メイリオ" w:hAnsi="メイリオ" w:cs="メイリオ" w:hint="eastAsia"/>
          <w:sz w:val="24"/>
          <w:szCs w:val="24"/>
        </w:rPr>
      </w:pPr>
    </w:p>
    <w:p w:rsidR="001231A9" w:rsidRDefault="00327299" w:rsidP="001231A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 xml:space="preserve">① 1枚のスライドガラスに載せる薄切切片は1枚のみとする(複数枚載せない)。 </w:t>
      </w:r>
    </w:p>
    <w:p w:rsidR="006C4111" w:rsidRDefault="00327299" w:rsidP="001231A9">
      <w:pPr>
        <w:spacing w:line="300" w:lineRule="exact"/>
        <w:ind w:hanging="238"/>
        <w:jc w:val="left"/>
        <w:rPr>
          <w:rFonts w:ascii="メイリオ" w:eastAsia="メイリオ" w:hAnsi="メイリオ" w:cs="メイリオ" w:hint="eastAsia"/>
          <w:sz w:val="24"/>
          <w:szCs w:val="24"/>
        </w:rPr>
      </w:pPr>
      <w:r w:rsidRPr="00327299">
        <w:rPr>
          <w:rFonts w:ascii="メイリオ" w:eastAsia="メイリオ" w:hAnsi="メイリオ" w:cs="メイリオ" w:hint="eastAsia"/>
          <w:sz w:val="24"/>
          <w:szCs w:val="24"/>
        </w:rPr>
        <w:t>② 乾燥は、37℃で行う。</w:t>
      </w:r>
    </w:p>
    <w:p w:rsidR="001231A9" w:rsidRDefault="001231A9" w:rsidP="001231A9">
      <w:pPr>
        <w:spacing w:line="300" w:lineRule="exact"/>
        <w:ind w:hanging="238"/>
        <w:jc w:val="left"/>
        <w:rPr>
          <w:rFonts w:ascii="メイリオ" w:eastAsia="メイリオ" w:hAnsi="メイリオ" w:cs="メイリオ" w:hint="eastAsia"/>
          <w:sz w:val="24"/>
          <w:szCs w:val="24"/>
        </w:rPr>
      </w:pPr>
    </w:p>
    <w:p w:rsidR="001231A9" w:rsidRPr="00327299" w:rsidRDefault="001231A9" w:rsidP="001231A9">
      <w:pPr>
        <w:spacing w:line="300" w:lineRule="exact"/>
        <w:ind w:hanging="238"/>
        <w:jc w:val="left"/>
        <w:rPr>
          <w:rFonts w:ascii="メイリオ" w:eastAsia="メイリオ" w:hAnsi="メイリオ" w:cs="メイリオ" w:hint="eastAsia"/>
          <w:sz w:val="24"/>
          <w:szCs w:val="24"/>
        </w:rPr>
      </w:pPr>
    </w:p>
    <w:p w:rsidR="001231A9" w:rsidRDefault="001231A9" w:rsidP="001231A9">
      <w:pPr>
        <w:spacing w:line="300" w:lineRule="exact"/>
        <w:ind w:left="-709"/>
        <w:jc w:val="left"/>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　</w:t>
      </w:r>
      <w:r w:rsidRPr="001231A9">
        <w:rPr>
          <w:rFonts w:ascii="メイリオ" w:eastAsia="メイリオ" w:hAnsi="メイリオ" w:cs="メイリオ" w:hint="eastAsia"/>
          <w:sz w:val="24"/>
          <w:szCs w:val="24"/>
        </w:rPr>
        <w:t>検体についてご不明な点がございましたら、埼玉医科大学国際医療センター</w:t>
      </w:r>
      <w:r>
        <w:rPr>
          <w:rFonts w:ascii="メイリオ" w:eastAsia="メイリオ" w:hAnsi="メイリオ" w:cs="メイリオ" w:hint="eastAsia"/>
          <w:sz w:val="24"/>
          <w:szCs w:val="24"/>
        </w:rPr>
        <w:t xml:space="preserve"> </w:t>
      </w:r>
      <w:r w:rsidRPr="001231A9">
        <w:rPr>
          <w:rFonts w:ascii="メイリオ" w:eastAsia="メイリオ" w:hAnsi="メイリオ" w:cs="メイリオ" w:hint="eastAsia"/>
          <w:sz w:val="24"/>
          <w:szCs w:val="24"/>
        </w:rPr>
        <w:t>がんゲノム医療</w:t>
      </w:r>
    </w:p>
    <w:p w:rsidR="001231A9" w:rsidRPr="001231A9" w:rsidRDefault="001231A9" w:rsidP="001231A9">
      <w:pPr>
        <w:spacing w:line="300" w:lineRule="exact"/>
        <w:ind w:left="-709"/>
        <w:jc w:val="left"/>
        <w:rPr>
          <w:rFonts w:ascii="メイリオ" w:eastAsia="メイリオ" w:hAnsi="メイリオ" w:cs="メイリオ"/>
          <w:sz w:val="24"/>
          <w:szCs w:val="24"/>
        </w:rPr>
      </w:pPr>
      <w:r w:rsidRPr="001231A9">
        <w:rPr>
          <w:rFonts w:ascii="メイリオ" w:eastAsia="メイリオ" w:hAnsi="メイリオ" w:cs="メイリオ" w:hint="eastAsia"/>
          <w:sz w:val="24"/>
          <w:szCs w:val="24"/>
        </w:rPr>
        <w:t>センター(042-984-4532)までお問い合わせください。</w:t>
      </w:r>
    </w:p>
    <w:sectPr w:rsidR="001231A9" w:rsidRPr="001231A9" w:rsidSect="009A2B29">
      <w:pgSz w:w="11907" w:h="16839" w:code="9"/>
      <w:pgMar w:top="568" w:right="708" w:bottom="426" w:left="1276" w:header="709" w:footer="709" w:gutter="0"/>
      <w:cols w:space="708"/>
      <w:docGrid w:linePitch="360" w:charSpace="-15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drawingGridHorizontalSpacing w:val="213"/>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48"/>
    <w:rsid w:val="0010532B"/>
    <w:rsid w:val="001231A9"/>
    <w:rsid w:val="00295F9C"/>
    <w:rsid w:val="002C33E2"/>
    <w:rsid w:val="0032158F"/>
    <w:rsid w:val="00327299"/>
    <w:rsid w:val="005923B5"/>
    <w:rsid w:val="006C4111"/>
    <w:rsid w:val="007B1548"/>
    <w:rsid w:val="00836FB9"/>
    <w:rsid w:val="009A2B29"/>
    <w:rsid w:val="00AF5453"/>
    <w:rsid w:val="00C96711"/>
    <w:rsid w:val="00E42699"/>
    <w:rsid w:val="00E94AD0"/>
    <w:rsid w:val="00F137F5"/>
    <w:rsid w:val="00F86569"/>
    <w:rsid w:val="00FA2272"/>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ＭＳ 明朝"/>
        <w:color w:val="000000"/>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F5"/>
    <w:pPr>
      <w:widowControl w:val="0"/>
      <w:overflowPunct w:val="0"/>
      <w:jc w:val="both"/>
      <w:textAlignment w:val="baseline"/>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ＭＳ 明朝"/>
        <w:color w:val="000000"/>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F5"/>
    <w:pPr>
      <w:widowControl w:val="0"/>
      <w:overflowPunct w:val="0"/>
      <w:jc w:val="both"/>
      <w:textAlignment w:val="baseline"/>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47914">
      <w:bodyDiv w:val="1"/>
      <w:marLeft w:val="0"/>
      <w:marRight w:val="0"/>
      <w:marTop w:val="0"/>
      <w:marBottom w:val="0"/>
      <w:divBdr>
        <w:top w:val="none" w:sz="0" w:space="0" w:color="auto"/>
        <w:left w:val="none" w:sz="0" w:space="0" w:color="auto"/>
        <w:bottom w:val="none" w:sz="0" w:space="0" w:color="auto"/>
        <w:right w:val="none" w:sz="0" w:space="0" w:color="auto"/>
      </w:divBdr>
    </w:div>
    <w:div w:id="1161238808">
      <w:bodyDiv w:val="1"/>
      <w:marLeft w:val="0"/>
      <w:marRight w:val="0"/>
      <w:marTop w:val="0"/>
      <w:marBottom w:val="0"/>
      <w:divBdr>
        <w:top w:val="none" w:sz="0" w:space="0" w:color="auto"/>
        <w:left w:val="none" w:sz="0" w:space="0" w:color="auto"/>
        <w:bottom w:val="none" w:sz="0" w:space="0" w:color="auto"/>
        <w:right w:val="none" w:sz="0" w:space="0" w:color="auto"/>
      </w:divBdr>
    </w:div>
    <w:div w:id="1751804240">
      <w:bodyDiv w:val="1"/>
      <w:marLeft w:val="0"/>
      <w:marRight w:val="0"/>
      <w:marTop w:val="0"/>
      <w:marBottom w:val="0"/>
      <w:divBdr>
        <w:top w:val="none" w:sz="0" w:space="0" w:color="auto"/>
        <w:left w:val="none" w:sz="0" w:space="0" w:color="auto"/>
        <w:bottom w:val="none" w:sz="0" w:space="0" w:color="auto"/>
        <w:right w:val="none" w:sz="0" w:space="0" w:color="auto"/>
      </w:divBdr>
    </w:div>
    <w:div w:id="18343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2020-04-13T23:40:00Z</dcterms:created>
  <dcterms:modified xsi:type="dcterms:W3CDTF">2020-04-14T00:14:00Z</dcterms:modified>
</cp:coreProperties>
</file>